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CF2DCB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30.08.2024г. №1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C2086A" w:rsidRPr="00C2086A" w:rsidRDefault="00CF2DCB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2086A" w:rsidRDefault="00C2086A" w:rsidP="00CF2D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  <w:r w:rsidR="00CF2DCB">
              <w:rPr>
                <w:rFonts w:ascii="Times New Roman" w:hAnsi="Times New Roman" w:cs="Times New Roman"/>
                <w:sz w:val="28"/>
                <w:szCs w:val="28"/>
              </w:rPr>
              <w:t>БОУ ТМО ВО «Маркушевская основная школа» №60 от 30.08.2024 г.</w:t>
            </w:r>
          </w:p>
          <w:p w:rsidR="00CF2DCB" w:rsidRPr="00C2086A" w:rsidRDefault="00CF2DCB" w:rsidP="00CF2D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Гусишная Ю.С.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Default="00CF2DCB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CF2DCB" w:rsidRDefault="00CF2DCB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 Вологодской области</w:t>
      </w:r>
    </w:p>
    <w:p w:rsidR="00CF2DCB" w:rsidRPr="00C2086A" w:rsidRDefault="00CF2DCB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«Маркушевская основная школа»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</w:t>
      </w:r>
      <w:r w:rsidR="00CF2DCB">
        <w:rPr>
          <w:rFonts w:ascii="Times New Roman" w:hAnsi="Times New Roman" w:cs="Times New Roman"/>
          <w:sz w:val="28"/>
          <w:szCs w:val="28"/>
        </w:rPr>
        <w:t>вила) бюджетного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CF2DCB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 Вологодской области «Маркушевская основная школа» (далее – БОУ ТМО ВО «Маркушевская основная школа»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BD3F96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BD3F96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BD3F96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BD3F96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</w:t>
      </w:r>
      <w:r w:rsidR="00CF2DCB">
        <w:rPr>
          <w:rFonts w:ascii="Times New Roman" w:hAnsi="Times New Roman" w:cs="Times New Roman"/>
          <w:sz w:val="28"/>
          <w:szCs w:val="28"/>
        </w:rPr>
        <w:t>ждения на территории БОУ ТМО ВО «Маркушевская основная школа»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</w:t>
      </w:r>
      <w:r w:rsidR="00CF2DCB">
        <w:rPr>
          <w:rFonts w:ascii="Times New Roman" w:hAnsi="Times New Roman" w:cs="Times New Roman"/>
          <w:sz w:val="28"/>
          <w:szCs w:val="28"/>
        </w:rPr>
        <w:lastRenderedPageBreak/>
        <w:t>обучающихся БОУ ТМО ВО «Маркушевская основная школа»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CF2DCB">
        <w:rPr>
          <w:rFonts w:ascii="Times New Roman" w:hAnsi="Times New Roman" w:cs="Times New Roman"/>
          <w:sz w:val="28"/>
          <w:szCs w:val="28"/>
        </w:rPr>
        <w:t>В БОУ ТМО ВО «Маркушевская основная школа»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</w:t>
      </w:r>
      <w:r w:rsidR="00CF2DCB">
        <w:rPr>
          <w:rFonts w:ascii="Times New Roman" w:hAnsi="Times New Roman" w:cs="Times New Roman"/>
          <w:sz w:val="28"/>
          <w:szCs w:val="28"/>
        </w:rPr>
        <w:t>едение обучающихся в БОУ ТМО ВО «</w:t>
      </w:r>
      <w:proofErr w:type="spellStart"/>
      <w:r w:rsidR="00CF2DCB">
        <w:rPr>
          <w:rFonts w:ascii="Times New Roman" w:hAnsi="Times New Roman" w:cs="Times New Roman"/>
          <w:sz w:val="28"/>
          <w:szCs w:val="28"/>
        </w:rPr>
        <w:t>Маркушевксая</w:t>
      </w:r>
      <w:proofErr w:type="spellEnd"/>
      <w:r w:rsidR="00CF2DCB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>Дисциплина в БОУ ТМО ВО «Маркушевская основная школа»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</w:t>
      </w:r>
      <w:r w:rsidR="006F0EE4">
        <w:rPr>
          <w:rFonts w:ascii="Times New Roman" w:hAnsi="Times New Roman" w:cs="Times New Roman"/>
          <w:sz w:val="28"/>
          <w:szCs w:val="28"/>
        </w:rPr>
        <w:t xml:space="preserve"> на всех обучающихся БОУ ТМО ВО «Маркушевская основная школа»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6F0EE4" w:rsidRDefault="00CC71B8" w:rsidP="006F0EE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вступают со дня их у</w:t>
      </w:r>
      <w:r w:rsidR="006F0EE4">
        <w:rPr>
          <w:rFonts w:ascii="Times New Roman" w:hAnsi="Times New Roman" w:cs="Times New Roman"/>
          <w:sz w:val="28"/>
          <w:szCs w:val="28"/>
        </w:rPr>
        <w:t xml:space="preserve">тверждения директором БОУ ТМО ВО «Маркушевская основная школа». </w:t>
      </w:r>
      <w:r w:rsidR="00F41024" w:rsidRPr="006F0EE4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6F0E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6F0EE4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6F0E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6F0EE4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6F0E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6F0EE4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6F0E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6F0EE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6F0E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6F0EE4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6F0EE4">
        <w:rPr>
          <w:rFonts w:ascii="Times New Roman" w:hAnsi="Times New Roman" w:cs="Times New Roman"/>
          <w:spacing w:val="1"/>
          <w:sz w:val="28"/>
          <w:szCs w:val="28"/>
        </w:rPr>
        <w:t xml:space="preserve"> БОУ ТМО ВО «Маркушевская основная школа»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F0EE4">
        <w:rPr>
          <w:rFonts w:ascii="Times New Roman" w:hAnsi="Times New Roman" w:cs="Times New Roman"/>
          <w:spacing w:val="1"/>
          <w:sz w:val="28"/>
          <w:szCs w:val="28"/>
        </w:rPr>
        <w:t xml:space="preserve"> БОУ ТМО ВО «Маркушевская основная школа»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>БОУ ТМО ВО «Маркушевская основная школа»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</w:t>
      </w:r>
      <w:r w:rsidR="006F0EE4">
        <w:rPr>
          <w:rFonts w:ascii="Times New Roman" w:hAnsi="Times New Roman" w:cs="Times New Roman"/>
          <w:sz w:val="28"/>
          <w:szCs w:val="28"/>
        </w:rPr>
        <w:t>тельных отношений БОУ ТМО ВО «Маркушевская основная 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>БОУ ТМО ВО «Маркушевская основная 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>БОУ ТМО ВО «Маркушевская основная 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деятельности, согласно Положения о поощрении родителей и семей, обучающихся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 xml:space="preserve"> БОУ</w:t>
      </w:r>
      <w:proofErr w:type="gramEnd"/>
      <w:r w:rsidR="006F0EE4">
        <w:rPr>
          <w:rFonts w:ascii="Times New Roman" w:hAnsi="Times New Roman" w:cs="Times New Roman"/>
          <w:sz w:val="28"/>
          <w:szCs w:val="28"/>
        </w:rPr>
        <w:t xml:space="preserve"> ТМО ВО «Маркушевская основная 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EE4">
        <w:rPr>
          <w:rFonts w:ascii="Times New Roman" w:hAnsi="Times New Roman" w:cs="Times New Roman"/>
          <w:sz w:val="28"/>
          <w:szCs w:val="28"/>
        </w:rPr>
        <w:t>БОУ ТМО ВО «Маркушевская основная школа</w:t>
      </w:r>
      <w:r w:rsidRPr="00C2086A">
        <w:rPr>
          <w:rFonts w:ascii="Times New Roman" w:hAnsi="Times New Roman" w:cs="Times New Roman"/>
          <w:sz w:val="28"/>
          <w:szCs w:val="28"/>
        </w:rPr>
        <w:t>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</w:t>
      </w:r>
      <w:r w:rsidR="006F0EE4">
        <w:rPr>
          <w:sz w:val="28"/>
          <w:szCs w:val="28"/>
        </w:rPr>
        <w:t>ть требования устава БОУ ТМО ВО «Маркушевская основная школа»</w:t>
      </w:r>
      <w:r w:rsidRPr="00C2086A">
        <w:rPr>
          <w:sz w:val="28"/>
          <w:szCs w:val="28"/>
        </w:rPr>
        <w:t>, осуществляющей образовательную деятельность, правил внутреннего распорядка, в том числе требования к дисциплине на учебных занятиях и</w:t>
      </w:r>
      <w:r w:rsidR="006F0EE4">
        <w:rPr>
          <w:sz w:val="28"/>
          <w:szCs w:val="28"/>
        </w:rPr>
        <w:t xml:space="preserve"> иные локальные акты БОУ ТМО ВО «Маркушевская основная школа»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бережно от</w:t>
      </w:r>
      <w:r w:rsidR="00BD3F96">
        <w:rPr>
          <w:sz w:val="28"/>
          <w:szCs w:val="28"/>
        </w:rPr>
        <w:t>носиться к имуществу БОУ ТМО ВО «Маркушевская основная школа»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="00BD3F96">
        <w:rPr>
          <w:sz w:val="28"/>
          <w:szCs w:val="28"/>
        </w:rPr>
        <w:t>акты Вологодской области</w:t>
      </w:r>
      <w:r w:rsidRPr="00C2086A">
        <w:rPr>
          <w:sz w:val="28"/>
          <w:szCs w:val="28"/>
        </w:rPr>
        <w:t>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BD3F9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BD3F9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BD3F9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BD3F9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BD3F9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0940B4" w:rsidRPr="00C2086A" w:rsidRDefault="000940B4" w:rsidP="00BD3F9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BD3F9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BD3F9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BD3F9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BD3F9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BD3F9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Не допускается находиться на территории и в здании школы в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3F96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</w:t>
      </w:r>
      <w:r w:rsidR="00BD3F96">
        <w:rPr>
          <w:rFonts w:ascii="Times New Roman" w:hAnsi="Times New Roman" w:cs="Times New Roman"/>
          <w:sz w:val="28"/>
          <w:szCs w:val="28"/>
        </w:rPr>
        <w:t>средства связи не используются.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BD3F9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="00BD3F96">
        <w:rPr>
          <w:rFonts w:ascii="Times New Roman" w:hAnsi="Times New Roman" w:cs="Times New Roman"/>
          <w:color w:val="000000" w:themeColor="text1"/>
          <w:sz w:val="28"/>
          <w:szCs w:val="28"/>
        </w:rPr>
        <w:t>никоти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D3F96">
        <w:rPr>
          <w:rFonts w:ascii="Times New Roman" w:hAnsi="Times New Roman" w:cs="Times New Roman"/>
          <w:color w:val="000000" w:themeColor="text1"/>
          <w:sz w:val="28"/>
          <w:szCs w:val="28"/>
        </w:rPr>
        <w:t>буфета.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D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учителя.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D3F96">
        <w:rPr>
          <w:rFonts w:ascii="Times New Roman" w:hAnsi="Times New Roman" w:cs="Times New Roman"/>
          <w:color w:val="000000" w:themeColor="text1"/>
          <w:sz w:val="28"/>
          <w:szCs w:val="28"/>
        </w:rPr>
        <w:t>блюд.</w:t>
      </w:r>
    </w:p>
    <w:p w:rsidR="00824C95" w:rsidRPr="00C2086A" w:rsidRDefault="00BD3F96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="00824C95"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="00824C95"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в рекреациях. Не разрешается употреблять 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(магазинах).</w:t>
      </w:r>
    </w:p>
    <w:p w:rsidR="00824C95" w:rsidRPr="00C2086A" w:rsidRDefault="00BD3F96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убирают за собой столовые принадлежности и посуду после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еды.</w:t>
      </w:r>
    </w:p>
    <w:p w:rsidR="00824C95" w:rsidRPr="00C2086A" w:rsidRDefault="00BD3F96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824C95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824C95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="007A1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lastRenderedPageBreak/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За не</w:t>
      </w:r>
      <w:r w:rsidR="007A191C">
        <w:rPr>
          <w:color w:val="000000" w:themeColor="text1"/>
          <w:sz w:val="28"/>
          <w:szCs w:val="28"/>
        </w:rPr>
        <w:t>исполнение или нарушение устава БОУ ТМО ВО «Маркушевская основная школа"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</w:t>
      </w:r>
      <w:r w:rsidR="007A191C">
        <w:rPr>
          <w:color w:val="000000" w:themeColor="text1"/>
          <w:sz w:val="28"/>
          <w:szCs w:val="28"/>
        </w:rPr>
        <w:t>т, из БОУ ТМО ВО «Маркушевская основная школа»</w:t>
      </w:r>
      <w:r w:rsidRPr="00C2086A">
        <w:rPr>
          <w:color w:val="000000" w:themeColor="text1"/>
          <w:sz w:val="28"/>
          <w:szCs w:val="28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 w:rsidR="007A191C">
        <w:rPr>
          <w:color w:val="000000" w:themeColor="text1"/>
          <w:sz w:val="28"/>
          <w:szCs w:val="28"/>
        </w:rPr>
        <w:t>шее его пребывание в БОУ ТМО ВО «Маркушевская основная школа»</w:t>
      </w:r>
      <w:r w:rsidRPr="00C2086A">
        <w:rPr>
          <w:color w:val="000000" w:themeColor="text1"/>
          <w:sz w:val="28"/>
          <w:szCs w:val="28"/>
        </w:rPr>
        <w:t xml:space="preserve"> оказывает </w:t>
      </w:r>
      <w:r w:rsidRPr="00C2086A">
        <w:rPr>
          <w:color w:val="000000" w:themeColor="text1"/>
          <w:sz w:val="28"/>
          <w:szCs w:val="28"/>
        </w:rPr>
        <w:lastRenderedPageBreak/>
        <w:t>отрицательное влияние на других обучающихся, нарушает их прав</w:t>
      </w:r>
      <w:r w:rsidR="007A191C">
        <w:rPr>
          <w:color w:val="000000" w:themeColor="text1"/>
          <w:sz w:val="28"/>
          <w:szCs w:val="28"/>
        </w:rPr>
        <w:t>а и права работников БОУ ТМО ВО «Маркушевская основная школа»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7A191C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БОУ ТМО ВО «Маркушевская основная школа»</w:t>
      </w:r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</w:t>
      </w:r>
      <w:r w:rsidRPr="00C2086A">
        <w:rPr>
          <w:color w:val="000000" w:themeColor="text1"/>
          <w:sz w:val="28"/>
          <w:szCs w:val="28"/>
        </w:rPr>
        <w:lastRenderedPageBreak/>
        <w:t>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7A1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БОУ ТМО ВО «Маркушевская основная школа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направлять</w:t>
      </w:r>
      <w:r w:rsidR="007A191C">
        <w:rPr>
          <w:color w:val="000000" w:themeColor="text1"/>
          <w:sz w:val="28"/>
          <w:szCs w:val="28"/>
        </w:rPr>
        <w:t xml:space="preserve"> в органы управления БОУ ТМО ВО «Маркушевская основная школа»</w:t>
      </w:r>
      <w:r w:rsidRPr="00C2086A">
        <w:rPr>
          <w:color w:val="000000" w:themeColor="text1"/>
          <w:sz w:val="28"/>
          <w:szCs w:val="28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</w:t>
      </w:r>
      <w:r w:rsidR="007A191C">
        <w:rPr>
          <w:color w:val="000000" w:themeColor="text1"/>
          <w:sz w:val="28"/>
          <w:szCs w:val="28"/>
        </w:rPr>
        <w:t>тношений создается в БОУ ТМО ВО «Маркушевская основная школа»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EE3D7E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F206BD" w:rsidRPr="00EE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27108B"/>
    <w:rsid w:val="003E403C"/>
    <w:rsid w:val="0056183E"/>
    <w:rsid w:val="00695CFB"/>
    <w:rsid w:val="006F0EE4"/>
    <w:rsid w:val="007A191C"/>
    <w:rsid w:val="00816C0E"/>
    <w:rsid w:val="00824C95"/>
    <w:rsid w:val="009D4100"/>
    <w:rsid w:val="00A00B7B"/>
    <w:rsid w:val="00A57814"/>
    <w:rsid w:val="00B652F5"/>
    <w:rsid w:val="00BD3F96"/>
    <w:rsid w:val="00C2086A"/>
    <w:rsid w:val="00C53478"/>
    <w:rsid w:val="00C82CFB"/>
    <w:rsid w:val="00CC71B8"/>
    <w:rsid w:val="00CF2DCB"/>
    <w:rsid w:val="00D47A14"/>
    <w:rsid w:val="00D6211A"/>
    <w:rsid w:val="00D70E0D"/>
    <w:rsid w:val="00E12CA2"/>
    <w:rsid w:val="00EE3D7E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78B2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admin</cp:lastModifiedBy>
  <cp:revision>5</cp:revision>
  <cp:lastPrinted>2025-02-25T10:18:00Z</cp:lastPrinted>
  <dcterms:created xsi:type="dcterms:W3CDTF">2024-02-07T09:53:00Z</dcterms:created>
  <dcterms:modified xsi:type="dcterms:W3CDTF">2025-02-25T10:30:00Z</dcterms:modified>
</cp:coreProperties>
</file>